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B8" w:rsidRDefault="00CD3BB8">
      <w:pPr>
        <w:pStyle w:val="Standard"/>
        <w:jc w:val="center"/>
        <w:rPr>
          <w:b/>
          <w:bCs/>
          <w:sz w:val="28"/>
          <w:szCs w:val="28"/>
        </w:rPr>
      </w:pPr>
      <w:r>
        <w:rPr>
          <w:b/>
          <w:bCs/>
          <w:sz w:val="28"/>
          <w:szCs w:val="28"/>
        </w:rPr>
        <w:t>Bytové družstvo Horní Proseč</w:t>
      </w:r>
    </w:p>
    <w:p w:rsidR="00CD3BB8" w:rsidRDefault="00CD3BB8">
      <w:pPr>
        <w:pStyle w:val="Standard"/>
        <w:jc w:val="center"/>
      </w:pPr>
      <w:r>
        <w:t>IČO 25411128, Masarykova 522/12, 460 01 Liberec 1</w:t>
      </w:r>
    </w:p>
    <w:p w:rsidR="00CD3BB8" w:rsidRDefault="00CD3BB8">
      <w:pPr>
        <w:pStyle w:val="Standard"/>
      </w:pPr>
    </w:p>
    <w:p w:rsidR="00CD3BB8" w:rsidRDefault="00CD3BB8">
      <w:pPr>
        <w:pStyle w:val="Standard"/>
      </w:pPr>
    </w:p>
    <w:p w:rsidR="00CD3BB8" w:rsidRDefault="00CD3BB8">
      <w:pPr>
        <w:pStyle w:val="Standard"/>
        <w:jc w:val="center"/>
      </w:pPr>
      <w:r>
        <w:t xml:space="preserve">  </w:t>
      </w:r>
      <w:r>
        <w:rPr>
          <w:b/>
          <w:bCs/>
        </w:rPr>
        <w:t xml:space="preserve"> </w:t>
      </w:r>
      <w:r>
        <w:rPr>
          <w:b/>
          <w:bCs/>
          <w:sz w:val="28"/>
          <w:szCs w:val="28"/>
          <w:u w:val="single"/>
        </w:rPr>
        <w:t>Zpráva kontrolní komise ze dne 2.11.2015</w:t>
      </w:r>
    </w:p>
    <w:p w:rsidR="00CD3BB8" w:rsidRDefault="00CD3BB8">
      <w:pPr>
        <w:pStyle w:val="Standard"/>
        <w:rPr>
          <w:b/>
          <w:bCs/>
          <w:sz w:val="28"/>
          <w:szCs w:val="28"/>
          <w:u w:val="single"/>
        </w:rPr>
      </w:pPr>
    </w:p>
    <w:p w:rsidR="00CD3BB8" w:rsidRDefault="00CD3BB8">
      <w:pPr>
        <w:pStyle w:val="Standard"/>
        <w:jc w:val="both"/>
      </w:pPr>
      <w:r>
        <w:rPr>
          <w:b/>
          <w:bCs/>
        </w:rPr>
        <w:t xml:space="preserve">Místo konání </w:t>
      </w:r>
      <w:r>
        <w:t>: správa bytového družstva.</w:t>
      </w:r>
    </w:p>
    <w:p w:rsidR="00CD3BB8" w:rsidRDefault="00CD3BB8">
      <w:pPr>
        <w:pStyle w:val="Standard"/>
        <w:jc w:val="both"/>
      </w:pPr>
      <w:r>
        <w:rPr>
          <w:b/>
          <w:bCs/>
        </w:rPr>
        <w:t xml:space="preserve">Přítomní za správu Bytového družstva </w:t>
      </w:r>
      <w:r>
        <w:t>: Libor Kafka, Ing.Miloslava Ježková, pí. Portová</w:t>
      </w:r>
    </w:p>
    <w:p w:rsidR="00CD3BB8" w:rsidRDefault="00CD3BB8">
      <w:pPr>
        <w:pStyle w:val="Standard"/>
        <w:jc w:val="both"/>
      </w:pPr>
      <w:r>
        <w:rPr>
          <w:b/>
          <w:bCs/>
        </w:rPr>
        <w:t xml:space="preserve">Přítomní za kontrolní komisí : </w:t>
      </w:r>
      <w:r>
        <w:t>Michal Novotný, Zdenka Kratochvílová</w:t>
      </w:r>
    </w:p>
    <w:p w:rsidR="00CD3BB8" w:rsidRDefault="00CD3BB8">
      <w:pPr>
        <w:pStyle w:val="Standard"/>
        <w:jc w:val="both"/>
        <w:rPr>
          <w:b/>
          <w:bCs/>
        </w:rPr>
      </w:pPr>
      <w:r>
        <w:rPr>
          <w:b/>
          <w:bCs/>
        </w:rPr>
        <w:t xml:space="preserve">Zvláštní host : </w:t>
      </w:r>
      <w:r>
        <w:t>Ing. Josef Vyhnánek</w:t>
      </w:r>
    </w:p>
    <w:p w:rsidR="00CD3BB8" w:rsidRDefault="00CD3BB8">
      <w:pPr>
        <w:pStyle w:val="Standard"/>
        <w:jc w:val="both"/>
      </w:pPr>
    </w:p>
    <w:p w:rsidR="00CD3BB8" w:rsidRDefault="00CD3BB8">
      <w:pPr>
        <w:pStyle w:val="Standard"/>
        <w:jc w:val="both"/>
      </w:pPr>
      <w:r>
        <w:t xml:space="preserve">Důvodem těto schůze, se staly dlouhodobé stížnosti ze strany pana Vyhnánka směřovaná na správce bytového družstva (Intermu). Jednalo se o několikakorunovou korekci v jeho měsíčních úvěrových platbách. </w:t>
      </w:r>
    </w:p>
    <w:p w:rsidR="00CD3BB8" w:rsidRDefault="00CD3BB8">
      <w:pPr>
        <w:pStyle w:val="Standard"/>
        <w:jc w:val="both"/>
      </w:pPr>
      <w:r>
        <w:t xml:space="preserve">Kontrolní komise provedla ohledně této stížností šetření, prověřila důvod této korekce a neshedala žádnou chybu (zpráva kontrolní komise ze dne 9.2.2014). Jelikož se správě družstva, ani kontrolní komisi nepovedlo přesvědčit pana Vyhnánka o správnosti výpočtu úvěrové pladby, rozhodla se proto kontrolní komise uskutečnit na správě družstva schůzi, která by tento dlouhodobě trvající rozpor vyjasnila. </w:t>
      </w:r>
    </w:p>
    <w:p w:rsidR="00CD3BB8" w:rsidRDefault="00CD3BB8">
      <w:pPr>
        <w:pStyle w:val="Standard"/>
        <w:jc w:val="both"/>
      </w:pPr>
      <w:r>
        <w:t>Z tohoto důvodu byla přizvána na schůzi pí. Portová, která k panu Vyhnánkovi popsala přesný postup při výpočtech výše úvěrové platby. Ing. Vyhnánek poté uznal správnost výpočtů ze strany paní Portové.</w:t>
      </w:r>
    </w:p>
    <w:p w:rsidR="00CD3BB8" w:rsidRDefault="00CD3BB8">
      <w:pPr>
        <w:pStyle w:val="Standard"/>
        <w:jc w:val="both"/>
      </w:pPr>
    </w:p>
    <w:p w:rsidR="00CD3BB8" w:rsidRDefault="00CD3BB8">
      <w:pPr>
        <w:pStyle w:val="Standard"/>
        <w:jc w:val="both"/>
      </w:pPr>
      <w:r>
        <w:t xml:space="preserve">Dalším důvodem této schůze se stalo tvrzení pana Vyhnánka, že na internetových stránkách družstva není ani po roce zveřejněn zápis z členské schůze družstva, výroční zpráva představenstva, ani výroční zpráva kontrolní komise. Po vysvětlení, kde se tyto dokumenty na stránkách družstva nacházejí, ing. Vyhnánek uznal, že tyto dokumenty na stránkách družstva přehlédl. </w:t>
      </w:r>
    </w:p>
    <w:p w:rsidR="00CD3BB8" w:rsidRDefault="00CD3BB8">
      <w:pPr>
        <w:pStyle w:val="Standard"/>
        <w:jc w:val="both"/>
      </w:pPr>
    </w:p>
    <w:p w:rsidR="00CD3BB8" w:rsidRDefault="00CD3BB8">
      <w:pPr>
        <w:pStyle w:val="Standard"/>
        <w:jc w:val="both"/>
      </w:pPr>
      <w:r>
        <w:t>Po odchodu ing. Vyhnánka se kontrolní komise informovala o probíhajícím soudním sporu mezi družstvem a ing. Barkovou.</w:t>
      </w:r>
    </w:p>
    <w:p w:rsidR="00CD3BB8" w:rsidRDefault="00CD3BB8">
      <w:pPr>
        <w:pStyle w:val="Standard"/>
        <w:jc w:val="both"/>
      </w:pPr>
    </w:p>
    <w:p w:rsidR="00CD3BB8" w:rsidRDefault="00CD3BB8">
      <w:pPr>
        <w:pStyle w:val="Standard"/>
        <w:jc w:val="both"/>
      </w:pPr>
      <w:r>
        <w:t>Za kontrolní komisi zapsal Novotný</w:t>
      </w:r>
    </w:p>
    <w:p w:rsidR="00CD3BB8" w:rsidRDefault="00CD3BB8">
      <w:pPr>
        <w:pStyle w:val="Standard"/>
        <w:jc w:val="both"/>
      </w:pPr>
    </w:p>
    <w:p w:rsidR="00CD3BB8" w:rsidRDefault="00CD3BB8">
      <w:pPr>
        <w:pStyle w:val="Standard"/>
        <w:jc w:val="both"/>
      </w:pPr>
    </w:p>
    <w:p w:rsidR="00CD3BB8" w:rsidRDefault="00CD3BB8">
      <w:pPr>
        <w:pStyle w:val="Standard"/>
        <w:jc w:val="both"/>
      </w:pPr>
    </w:p>
    <w:sectPr w:rsidR="00CD3BB8" w:rsidSect="00DE07E5">
      <w:pgSz w:w="11906" w:h="16838"/>
      <w:pgMar w:top="1134" w:right="1134" w:bottom="1134" w:left="1134"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B8" w:rsidRDefault="00CD3BB8">
      <w:r>
        <w:separator/>
      </w:r>
    </w:p>
  </w:endnote>
  <w:endnote w:type="continuationSeparator" w:id="0">
    <w:p w:rsidR="00CD3BB8" w:rsidRDefault="00CD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B8" w:rsidRDefault="00CD3BB8">
      <w:pPr>
        <w:spacing w:before="57" w:after="57"/>
      </w:pPr>
      <w:r>
        <w:separator/>
      </w:r>
    </w:p>
  </w:footnote>
  <w:footnote w:type="continuationSeparator" w:id="0">
    <w:p w:rsidR="00CD3BB8" w:rsidRDefault="00CD3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691"/>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7E5"/>
    <w:rsid w:val="00122D23"/>
    <w:rsid w:val="00A127AB"/>
    <w:rsid w:val="00CD3BB8"/>
    <w:rsid w:val="00DE07E5"/>
    <w:rsid w:val="00F7211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6"/>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E07E5"/>
    <w:pPr>
      <w:widowControl w:val="0"/>
      <w:suppressAutoHyphens/>
    </w:pPr>
    <w:rPr>
      <w:kern w:val="16"/>
      <w:sz w:val="24"/>
      <w:szCs w:val="24"/>
      <w:lang w:eastAsia="zh-CN" w:bidi="hi-IN"/>
    </w:rPr>
  </w:style>
  <w:style w:type="paragraph" w:customStyle="1" w:styleId="Heading">
    <w:name w:val="Heading"/>
    <w:basedOn w:val="Standard"/>
    <w:next w:val="Textbody"/>
    <w:uiPriority w:val="99"/>
    <w:rsid w:val="00DE07E5"/>
    <w:pPr>
      <w:keepNext/>
      <w:spacing w:before="240" w:after="120"/>
    </w:pPr>
    <w:rPr>
      <w:rFonts w:ascii="Arial" w:hAnsi="Arial"/>
      <w:sz w:val="28"/>
      <w:szCs w:val="28"/>
    </w:rPr>
  </w:style>
  <w:style w:type="paragraph" w:customStyle="1" w:styleId="Textbody">
    <w:name w:val="Text body"/>
    <w:basedOn w:val="Standard"/>
    <w:uiPriority w:val="99"/>
    <w:rsid w:val="00DE07E5"/>
    <w:pPr>
      <w:spacing w:after="120"/>
    </w:pPr>
  </w:style>
  <w:style w:type="paragraph" w:styleId="List">
    <w:name w:val="List"/>
    <w:basedOn w:val="Textbody"/>
    <w:uiPriority w:val="99"/>
    <w:semiHidden/>
    <w:rsid w:val="00DE07E5"/>
  </w:style>
  <w:style w:type="paragraph" w:styleId="Caption">
    <w:name w:val="caption"/>
    <w:basedOn w:val="Standard"/>
    <w:uiPriority w:val="99"/>
    <w:qFormat/>
    <w:rsid w:val="00DE07E5"/>
    <w:pPr>
      <w:spacing w:before="120" w:after="120"/>
    </w:pPr>
    <w:rPr>
      <w:i/>
      <w:iCs/>
    </w:rPr>
  </w:style>
  <w:style w:type="paragraph" w:customStyle="1" w:styleId="Index">
    <w:name w:val="Index"/>
    <w:basedOn w:val="Standard"/>
    <w:uiPriority w:val="99"/>
    <w:rsid w:val="00DE07E5"/>
  </w:style>
  <w:style w:type="character" w:customStyle="1" w:styleId="notereference">
    <w:name w:val="note reference"/>
    <w:uiPriority w:val="99"/>
    <w:semiHidden/>
    <w:rsid w:val="00DE07E5"/>
  </w:style>
  <w:style w:type="paragraph" w:customStyle="1" w:styleId="notetext">
    <w:name w:val="note text"/>
    <w:uiPriority w:val="99"/>
    <w:semiHidden/>
    <w:rsid w:val="00DE07E5"/>
    <w:pPr>
      <w:widowControl w:val="0"/>
      <w:suppressAutoHyphens/>
    </w:pPr>
    <w:rPr>
      <w:kern w:val="16"/>
      <w:sz w:val="24"/>
      <w:szCs w:val="24"/>
      <w:lang w:eastAsia="zh-CN" w:bidi="hi-IN"/>
    </w:rPr>
  </w:style>
  <w:style w:type="character" w:customStyle="1" w:styleId="notereference1">
    <w:name w:val="note reference_1"/>
    <w:uiPriority w:val="99"/>
    <w:semiHidden/>
    <w:rsid w:val="00DE07E5"/>
  </w:style>
  <w:style w:type="paragraph" w:customStyle="1" w:styleId="notetext1">
    <w:name w:val="note text_1"/>
    <w:uiPriority w:val="99"/>
    <w:semiHidden/>
    <w:rsid w:val="00DE07E5"/>
    <w:pPr>
      <w:widowControl w:val="0"/>
      <w:suppressAutoHyphens/>
    </w:pPr>
    <w:rPr>
      <w:kern w:val="16"/>
      <w:sz w:val="24"/>
      <w:szCs w:val="24"/>
      <w:lang w:eastAsia="zh-CN" w:bidi="hi-IN"/>
    </w:rPr>
  </w:style>
  <w:style w:type="character" w:styleId="Hyperlink">
    <w:name w:val="Hyperlink"/>
    <w:basedOn w:val="DefaultParagraphFont"/>
    <w:uiPriority w:val="99"/>
    <w:rsid w:val="00DE07E5"/>
    <w:rPr>
      <w:rFonts w:cs="Times New Roman"/>
      <w:color w:val="000080"/>
      <w:u w:val="single"/>
    </w:rPr>
  </w:style>
  <w:style w:type="character" w:styleId="FollowedHyperlink">
    <w:name w:val="FollowedHyperlink"/>
    <w:basedOn w:val="DefaultParagraphFont"/>
    <w:uiPriority w:val="99"/>
    <w:rsid w:val="00DE07E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245</Words>
  <Characters>1447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Bytové družstvo Horní Proseč</dc:title>
  <dc:subject/>
  <dc:creator/>
  <cp:keywords/>
  <dc:description/>
  <cp:lastModifiedBy>Míla Ježková</cp:lastModifiedBy>
  <cp:revision>2</cp:revision>
  <dcterms:created xsi:type="dcterms:W3CDTF">2016-01-25T08:57:00Z</dcterms:created>
  <dcterms:modified xsi:type="dcterms:W3CDTF">2016-01-25T08:57:00Z</dcterms:modified>
</cp:coreProperties>
</file>